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B35444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23</w:t>
      </w:r>
      <w:r w:rsidR="001116AE">
        <w:rPr>
          <w:b/>
          <w:sz w:val="26"/>
          <w:szCs w:val="26"/>
        </w:rPr>
        <w:t>.02.2016</w:t>
      </w:r>
      <w:r w:rsidR="001116AE">
        <w:rPr>
          <w:b/>
          <w:sz w:val="26"/>
          <w:szCs w:val="26"/>
        </w:rPr>
        <w:tab/>
      </w:r>
    </w:p>
    <w:p w:rsidR="001116AE" w:rsidRDefault="00B35444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2016-02/05</w:t>
      </w:r>
    </w:p>
    <w:p w:rsidR="001116AE" w:rsidRDefault="001116AE" w:rsidP="001116AE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1116AE" w:rsidRDefault="001116AE" w:rsidP="001116AE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1116AE" w:rsidRDefault="00B35444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1-Ardanuçspor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Klb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>
        <w:rPr>
          <w:rFonts w:ascii="Verdana" w:hAnsi="Verdana" w:cs="Tahoma"/>
          <w:color w:val="000000"/>
          <w:sz w:val="20"/>
          <w:szCs w:val="20"/>
        </w:rPr>
        <w:t xml:space="preserve"> hakkında; 21.02.2016 tarihinde oynanan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Borçkaspor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Ardanuçspor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(Artvin)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1 .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Amatör Ligi müsabakasında, müsabakaya gelmeyerek talimatlara aykırı hareketi nedeniyle savunmasının istenmesine,</w:t>
      </w:r>
    </w:p>
    <w:p w:rsidR="00B35444" w:rsidRDefault="00B35444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2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-Tarık DEMİRCİ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Verdana" w:hAnsi="Verdana" w:cs="Tahoma"/>
          <w:color w:val="000000"/>
          <w:sz w:val="20"/>
          <w:szCs w:val="20"/>
        </w:rPr>
        <w:t>Hopaspor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. Fut.) hakkında; 21.02.2016 tarihinde oynanan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Hopaspor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- İl Özel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İdarespor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(Artvin) Amatör Ligi müsabakasında, kırmızı kart dışında ceza tayinine yer olmadığına,</w:t>
      </w:r>
    </w:p>
    <w:p w:rsidR="00B35444" w:rsidRPr="00B35444" w:rsidRDefault="00B35444" w:rsidP="00B3544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r w:rsidRPr="00B3544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-Aytaç BAYRAM </w:t>
      </w:r>
      <w:r w:rsidRPr="00B3544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(İl HAKEMİ) hakkında; savunmasının istenmesine,</w:t>
      </w:r>
    </w:p>
    <w:p w:rsidR="00B35444" w:rsidRPr="00B35444" w:rsidRDefault="00B35444" w:rsidP="00B3544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4</w:t>
      </w:r>
      <w:bookmarkStart w:id="0" w:name="_GoBack"/>
      <w:bookmarkEnd w:id="0"/>
      <w:r w:rsidRPr="00B3544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-Onur ÇOLAK </w:t>
      </w:r>
      <w:r w:rsidRPr="00B3544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(İl HAKEMİ) hakkında; savunmasının istenmesine,</w:t>
      </w:r>
    </w:p>
    <w:p w:rsidR="00B35444" w:rsidRDefault="00B35444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Disiplin Kurulu kararlarına karşı yapılacak itiraz bedeli ile 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no'lu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1116AE"/>
    <w:rsid w:val="001E6A88"/>
    <w:rsid w:val="00265893"/>
    <w:rsid w:val="00366F85"/>
    <w:rsid w:val="009071B0"/>
    <w:rsid w:val="00B3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sadettin dağ</cp:lastModifiedBy>
  <cp:revision>4</cp:revision>
  <dcterms:created xsi:type="dcterms:W3CDTF">2016-02-18T08:03:00Z</dcterms:created>
  <dcterms:modified xsi:type="dcterms:W3CDTF">2016-02-23T15:14:00Z</dcterms:modified>
</cp:coreProperties>
</file>